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数量：</w:t>
      </w:r>
      <w:r>
        <w:rPr>
          <w:rFonts w:hint="eastAsia" w:ascii="宋体" w:hAnsi="宋体"/>
          <w:szCs w:val="21"/>
          <w:lang w:val="en-US" w:eastAsia="zh-CN"/>
        </w:rPr>
        <w:t>PDA150台</w:t>
      </w:r>
    </w:p>
    <w:p>
      <w:pPr>
        <w:spacing w:line="400" w:lineRule="exact"/>
        <w:jc w:val="left"/>
        <w:rPr>
          <w:rFonts w:ascii="宋体" w:hAnsi="宋体" w:cs="Tahoma"/>
          <w:color w:val="000000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调研需求</w:t>
      </w:r>
      <w:r>
        <w:rPr>
          <w:rFonts w:hint="eastAsia" w:ascii="宋体" w:hAnsi="宋体"/>
          <w:szCs w:val="21"/>
        </w:rPr>
        <w:t>：</w:t>
      </w:r>
    </w:p>
    <w:tbl>
      <w:tblPr>
        <w:tblStyle w:val="21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3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指标项</w:t>
            </w: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操作系统</w:t>
            </w: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Arial"/>
                <w:szCs w:val="21"/>
              </w:rPr>
              <w:t xml:space="preserve">Android </w:t>
            </w:r>
            <w:r>
              <w:rPr>
                <w:rFonts w:hint="eastAsia" w:ascii="宋体" w:hAnsi="宋体" w:cs="Arial"/>
                <w:szCs w:val="21"/>
              </w:rPr>
              <w:t>10以上，针对医疗行业应用定制开发，需提供国家权威部门出具的医疗操作系统软件著作权证书附硬件，并加盖公章扫描件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CPU</w:t>
            </w:r>
          </w:p>
        </w:tc>
        <w:tc>
          <w:tcPr>
            <w:tcW w:w="756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八核处理器</w:t>
            </w:r>
            <w:r>
              <w:rPr>
                <w:rFonts w:hint="eastAsia" w:ascii="宋体" w:hAnsi="宋体"/>
                <w:szCs w:val="21"/>
                <w:lang w:bidi="en-US"/>
              </w:rPr>
              <w:t>、主频≥2.0</w:t>
            </w:r>
            <w:r>
              <w:rPr>
                <w:rFonts w:ascii="宋体" w:hAnsi="宋体"/>
                <w:szCs w:val="21"/>
                <w:lang w:bidi="en-US"/>
              </w:rPr>
              <w:t>GHz</w:t>
            </w:r>
            <w:r>
              <w:rPr>
                <w:rFonts w:hint="eastAsia" w:ascii="宋体" w:hAnsi="宋体"/>
                <w:szCs w:val="21"/>
                <w:lang w:bidi="en-US"/>
              </w:rPr>
              <w:t>；内存≥</w:t>
            </w:r>
            <w:r>
              <w:rPr>
                <w:rFonts w:ascii="宋体" w:hAnsi="宋体"/>
                <w:szCs w:val="21"/>
                <w:lang w:bidi="en-US"/>
              </w:rPr>
              <w:t>2GB</w:t>
            </w:r>
            <w:r>
              <w:rPr>
                <w:rFonts w:hint="eastAsia" w:ascii="宋体" w:hAnsi="宋体"/>
                <w:szCs w:val="21"/>
                <w:lang w:bidi="en-US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>存储≥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GB，SD卡可扩充到128</w:t>
            </w:r>
            <w:r>
              <w:rPr>
                <w:rFonts w:ascii="宋体" w:hAnsi="宋体" w:cs="宋体"/>
                <w:kern w:val="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电池容量</w:t>
            </w:r>
          </w:p>
        </w:tc>
        <w:tc>
          <w:tcPr>
            <w:tcW w:w="756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≥4000mAh，一体化设计，不可拆卸，无任何螺丝固定。提到电池CQC认证报告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续航时间</w:t>
            </w:r>
          </w:p>
        </w:tc>
        <w:tc>
          <w:tcPr>
            <w:tcW w:w="756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12小时以上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显示屏</w:t>
            </w:r>
          </w:p>
        </w:tc>
        <w:tc>
          <w:tcPr>
            <w:tcW w:w="756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≥5.45寸彩色</w:t>
            </w:r>
            <w:r>
              <w:rPr>
                <w:rFonts w:ascii="宋体" w:hAnsi="宋体"/>
                <w:szCs w:val="21"/>
                <w:lang w:bidi="en-US"/>
              </w:rPr>
              <w:t>1</w:t>
            </w:r>
            <w:r>
              <w:rPr>
                <w:rFonts w:hint="eastAsia" w:ascii="宋体" w:hAnsi="宋体"/>
                <w:szCs w:val="21"/>
                <w:lang w:bidi="en-US"/>
              </w:rPr>
              <w:t>44</w:t>
            </w:r>
            <w:r>
              <w:rPr>
                <w:rFonts w:ascii="宋体" w:hAnsi="宋体"/>
                <w:szCs w:val="21"/>
                <w:lang w:bidi="en-US"/>
              </w:rPr>
              <w:t>0X720多</w:t>
            </w:r>
            <w:r>
              <w:rPr>
                <w:rFonts w:hint="eastAsia" w:ascii="宋体" w:hAnsi="宋体"/>
                <w:szCs w:val="21"/>
                <w:lang w:bidi="en-US"/>
              </w:rPr>
              <w:t>点</w:t>
            </w:r>
            <w:r>
              <w:rPr>
                <w:rFonts w:ascii="宋体" w:hAnsi="宋体"/>
                <w:szCs w:val="21"/>
                <w:lang w:bidi="en-US"/>
              </w:rPr>
              <w:t>触控屏，超明亮，阳光下可视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操作方式</w:t>
            </w:r>
          </w:p>
        </w:tc>
        <w:tc>
          <w:tcPr>
            <w:tcW w:w="756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支持湿手和手套模式，以及支持被动笔功能，支持O</w:t>
            </w:r>
            <w:r>
              <w:rPr>
                <w:rFonts w:ascii="宋体" w:hAnsi="宋体"/>
                <w:szCs w:val="21"/>
                <w:lang w:bidi="en-US"/>
              </w:rPr>
              <w:t>n-TP Key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摄像头</w:t>
            </w:r>
          </w:p>
        </w:tc>
        <w:tc>
          <w:tcPr>
            <w:tcW w:w="756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/>
                <w:szCs w:val="21"/>
                <w:lang w:bidi="en-US"/>
              </w:rPr>
              <w:t>1300万</w:t>
            </w:r>
            <w:r>
              <w:rPr>
                <w:rFonts w:hint="eastAsia" w:ascii="宋体" w:hAnsi="宋体"/>
                <w:szCs w:val="21"/>
                <w:lang w:bidi="en-US"/>
              </w:rPr>
              <w:t>后置摄像头和200万前置摄像头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条码扫描引擎</w:t>
            </w:r>
          </w:p>
        </w:tc>
        <w:tc>
          <w:tcPr>
            <w:tcW w:w="756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支持1D/2D</w:t>
            </w:r>
            <w:r>
              <w:rPr>
                <w:rFonts w:ascii="宋体" w:hAnsi="宋体"/>
                <w:szCs w:val="21"/>
                <w:lang w:bidi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  <w:szCs w:val="21"/>
                <w:lang w:bidi="en-US"/>
              </w:rPr>
              <w:t>扫描技术</w:t>
            </w:r>
            <w:r>
              <w:rPr>
                <w:rFonts w:hint="eastAsia" w:ascii="宋体" w:hAnsi="宋体"/>
                <w:szCs w:val="21"/>
                <w:lang w:bidi="en-US"/>
              </w:rPr>
              <w:t>属于</w:t>
            </w:r>
            <w:r>
              <w:rPr>
                <w:rFonts w:ascii="宋体" w:hAnsi="宋体"/>
                <w:szCs w:val="21"/>
                <w:lang w:bidi="en-US"/>
              </w:rPr>
              <w:t>PDA原厂品牌</w:t>
            </w:r>
            <w:r>
              <w:rPr>
                <w:rFonts w:hint="eastAsia" w:ascii="宋体" w:hAnsi="宋体"/>
                <w:szCs w:val="21"/>
                <w:lang w:bidi="en-US"/>
              </w:rPr>
              <w:t>,（提供</w:t>
            </w:r>
            <w:r>
              <w:rPr>
                <w:rFonts w:ascii="宋体" w:hAnsi="宋体"/>
                <w:szCs w:val="21"/>
                <w:lang w:bidi="en-US"/>
              </w:rPr>
              <w:t>专利</w:t>
            </w:r>
            <w:r>
              <w:rPr>
                <w:rFonts w:hint="eastAsia" w:ascii="宋体" w:hAnsi="宋体"/>
                <w:szCs w:val="21"/>
                <w:lang w:bidi="en-US"/>
              </w:rPr>
              <w:t>盖章扫描件）支持屏幕扫描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无线局域网</w:t>
            </w:r>
          </w:p>
        </w:tc>
        <w:tc>
          <w:tcPr>
            <w:tcW w:w="756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/>
                <w:szCs w:val="21"/>
                <w:lang w:bidi="en-US"/>
              </w:rPr>
              <w:t>IEEE 802.11a/b/g/n/ac</w:t>
            </w:r>
            <w:r>
              <w:rPr>
                <w:rFonts w:hint="eastAsia" w:ascii="宋体" w:hAnsi="宋体"/>
                <w:szCs w:val="21"/>
                <w:lang w:bidi="en-US"/>
              </w:rPr>
              <w:t>，支持2.4G及5G频段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无线</w:t>
            </w:r>
            <w:r>
              <w:rPr>
                <w:rFonts w:ascii="宋体" w:hAnsi="宋体"/>
                <w:szCs w:val="21"/>
                <w:lang w:bidi="en-US"/>
              </w:rPr>
              <w:t>网络安全性</w:t>
            </w:r>
          </w:p>
        </w:tc>
        <w:tc>
          <w:tcPr>
            <w:tcW w:w="756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/>
                <w:szCs w:val="21"/>
                <w:lang w:bidi="en-US"/>
              </w:rPr>
              <w:t xml:space="preserve">WEP, 802.1x, TKIP, AES, LEAP, PEAPv0, PEAPv1, EAP-M, SCHAPv2 </w:t>
            </w:r>
          </w:p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/>
                <w:szCs w:val="21"/>
                <w:lang w:bidi="en-US"/>
              </w:rPr>
              <w:t>EAP-GTC, EAP-TLS, EAP-TTLS, WPA-PSK, WPA2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蓝牙</w:t>
            </w:r>
          </w:p>
        </w:tc>
        <w:tc>
          <w:tcPr>
            <w:tcW w:w="7560" w:type="dxa"/>
            <w:vAlign w:val="center"/>
          </w:tcPr>
          <w:p>
            <w:pPr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支持B</w:t>
            </w:r>
            <w:r>
              <w:rPr>
                <w:rFonts w:ascii="宋体" w:hAnsi="宋体"/>
                <w:szCs w:val="21"/>
                <w:lang w:bidi="en-US"/>
              </w:rPr>
              <w:t>T</w:t>
            </w:r>
            <w:r>
              <w:rPr>
                <w:rFonts w:hint="eastAsia" w:ascii="宋体" w:hAnsi="宋体"/>
                <w:szCs w:val="21"/>
                <w:lang w:bidi="en-US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振动</w:t>
            </w:r>
          </w:p>
        </w:tc>
        <w:tc>
          <w:tcPr>
            <w:tcW w:w="7560" w:type="dxa"/>
            <w:vAlign w:val="center"/>
          </w:tcPr>
          <w:p>
            <w:pPr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自带振动</w:t>
            </w:r>
            <w:r>
              <w:rPr>
                <w:rFonts w:ascii="宋体" w:hAnsi="宋体"/>
                <w:szCs w:val="21"/>
                <w:lang w:bidi="en-US"/>
              </w:rPr>
              <w:t>马达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外壳材料</w:t>
            </w:r>
          </w:p>
        </w:tc>
        <w:tc>
          <w:tcPr>
            <w:tcW w:w="756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抑菌材料，可耐受酒精、过氧化氢、丙乙醇、聚维酮碘等化学品擦拭消毒（含屏幕部分），提供盐雾测试报告盖章扫描件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工业防护等级</w:t>
            </w:r>
          </w:p>
        </w:tc>
        <w:tc>
          <w:tcPr>
            <w:tcW w:w="7560" w:type="dxa"/>
            <w:vAlign w:val="center"/>
          </w:tcPr>
          <w:p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IP</w:t>
            </w:r>
            <w:r>
              <w:rPr>
                <w:rFonts w:ascii="宋体" w:hAnsi="宋体"/>
                <w:szCs w:val="21"/>
                <w:lang w:bidi="en-US"/>
              </w:rPr>
              <w:t>6</w:t>
            </w:r>
            <w:r>
              <w:rPr>
                <w:rFonts w:hint="eastAsia" w:ascii="宋体" w:hAnsi="宋体"/>
                <w:szCs w:val="21"/>
                <w:lang w:bidi="en-US"/>
              </w:rPr>
              <w:t>5或以上，（提供测试报告盖章扫描件）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抗跌落能力</w:t>
            </w: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能承受1.2米水泥地面的跌落冲击，现场样机测试自由落体测试。（提供测试报告盖章扫描件）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16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重量</w:t>
            </w: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Arial"/>
                <w:szCs w:val="21"/>
              </w:rPr>
              <w:t>≤</w:t>
            </w: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40</w:t>
            </w:r>
            <w:r>
              <w:rPr>
                <w:rFonts w:ascii="宋体" w:hAnsi="宋体" w:cs="Arial"/>
                <w:szCs w:val="21"/>
              </w:rPr>
              <w:t>克</w:t>
            </w:r>
            <w:r>
              <w:rPr>
                <w:rFonts w:hint="eastAsia" w:ascii="宋体" w:hAnsi="宋体" w:cs="Arial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带电池）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17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认证</w:t>
            </w: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CCC认证，电池U</w:t>
            </w:r>
            <w:r>
              <w:rPr>
                <w:rFonts w:ascii="宋体" w:hAnsi="宋体" w:cs="宋体"/>
                <w:szCs w:val="21"/>
                <w:lang w:bidi="en-US"/>
              </w:rPr>
              <w:t>N38.3</w:t>
            </w:r>
            <w:r>
              <w:rPr>
                <w:rFonts w:hint="eastAsia" w:ascii="宋体" w:hAnsi="宋体" w:cs="宋体"/>
                <w:szCs w:val="21"/>
                <w:lang w:bidi="en-US"/>
              </w:rPr>
              <w:t>认证，WIFI联盟（通过证书盖章扫描件）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</w:rPr>
              <w:t>无线电发射设备型号核准证，CE认证（通过证书盖章扫描件）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 w:themeColor="text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电池货物运输</w:t>
            </w:r>
            <w:r>
              <w:rPr>
                <w:rFonts w:ascii="宋体" w:hAnsi="宋体"/>
                <w:color w:val="000000" w:themeColor="text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空运</w:t>
            </w:r>
            <w:r>
              <w:rPr>
                <w:rFonts w:hint="eastAsia" w:ascii="宋体" w:hAnsi="宋体"/>
                <w:color w:val="000000" w:themeColor="text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宋体" w:hAnsi="宋体"/>
                <w:color w:val="000000" w:themeColor="text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海运证书</w:t>
            </w:r>
            <w:r>
              <w:rPr>
                <w:rFonts w:hint="eastAsia" w:ascii="宋体" w:hAnsi="宋体"/>
                <w:color w:val="000000" w:themeColor="text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（通过证书盖章扫描件）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  <w:lang w:bidi="en-US"/>
              </w:rPr>
              <w:t>2</w:t>
            </w:r>
            <w:r>
              <w:rPr>
                <w:rFonts w:hint="eastAsia" w:ascii="宋体" w:hAnsi="宋体" w:cs="宋体"/>
                <w:szCs w:val="21"/>
                <w:lang w:bidi="en-US"/>
              </w:rPr>
              <w:t>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shd w:val="pct10" w:color="auto" w:fill="FFFFFF"/>
                <w:lang w:bidi="en-US"/>
              </w:rPr>
              <w:t>操作温度</w:t>
            </w: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-20°C 至+60°C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21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保修、授权</w:t>
            </w: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主机五年全保，包含人为损坏（包含电池坏了更换），配件一年保修（包含充电底座，数据线，插座）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22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保管箱</w:t>
            </w: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每个保管箱支持8台P</w:t>
            </w:r>
            <w:r>
              <w:rPr>
                <w:rFonts w:ascii="宋体" w:hAnsi="宋体"/>
                <w:szCs w:val="21"/>
                <w:lang w:bidi="en-US"/>
              </w:rPr>
              <w:t>DA</w:t>
            </w:r>
            <w:r>
              <w:rPr>
                <w:rFonts w:hint="eastAsia" w:ascii="宋体" w:hAnsi="宋体"/>
                <w:szCs w:val="21"/>
                <w:lang w:bidi="en-US"/>
              </w:rPr>
              <w:t>充电保管（根据采购数量同比例配比）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23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远程管理软件</w:t>
            </w: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提供原厂P</w:t>
            </w:r>
            <w:r>
              <w:rPr>
                <w:rFonts w:ascii="宋体" w:hAnsi="宋体"/>
                <w:szCs w:val="21"/>
                <w:lang w:bidi="en-US"/>
              </w:rPr>
              <w:t>DA</w:t>
            </w:r>
            <w:r>
              <w:rPr>
                <w:rFonts w:hint="eastAsia" w:ascii="宋体" w:hAnsi="宋体"/>
                <w:szCs w:val="21"/>
                <w:lang w:bidi="en-US"/>
              </w:rPr>
              <w:t>远程管理软件（甲方提供服务器,方便后续P</w:t>
            </w:r>
            <w:r>
              <w:rPr>
                <w:rFonts w:ascii="宋体" w:hAnsi="宋体"/>
                <w:szCs w:val="21"/>
                <w:lang w:bidi="en-US"/>
              </w:rPr>
              <w:t>DA</w:t>
            </w:r>
            <w:r>
              <w:rPr>
                <w:rFonts w:hint="eastAsia" w:ascii="宋体" w:hAnsi="宋体"/>
                <w:szCs w:val="21"/>
                <w:lang w:bidi="en-US"/>
              </w:rPr>
              <w:t>的管理和软件升级）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Cs w:val="21"/>
                <w:lang w:bidi="en-US"/>
              </w:rPr>
            </w:pPr>
            <w:r>
              <w:rPr>
                <w:rFonts w:hint="eastAsia" w:ascii="宋体" w:hAnsi="宋体" w:cs="宋体"/>
                <w:szCs w:val="21"/>
                <w:lang w:bidi="en-US"/>
              </w:rPr>
              <w:t>24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软件适配</w:t>
            </w:r>
          </w:p>
        </w:tc>
        <w:tc>
          <w:tcPr>
            <w:tcW w:w="756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需与现有软件对接适配，甲方不承担任何接口费用</w:t>
            </w:r>
          </w:p>
        </w:tc>
      </w:tr>
    </w:tbl>
    <w:p>
      <w:pPr>
        <w:spacing w:line="400" w:lineRule="exact"/>
        <w:jc w:val="left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MGM3MjRhNmZlNDkxZWY3OTVjOWI5Zjg4MzVhZGMifQ=="/>
  </w:docVars>
  <w:rsids>
    <w:rsidRoot w:val="00DD457B"/>
    <w:rsid w:val="00431328"/>
    <w:rsid w:val="00AF31C6"/>
    <w:rsid w:val="00B31507"/>
    <w:rsid w:val="00D472BC"/>
    <w:rsid w:val="00D97B3A"/>
    <w:rsid w:val="00DC16DA"/>
    <w:rsid w:val="00DD457B"/>
    <w:rsid w:val="00F873F6"/>
    <w:rsid w:val="33D10DE1"/>
    <w:rsid w:val="724A5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ind w:left="5954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tabs>
        <w:tab w:val="left" w:pos="0"/>
        <w:tab w:val="left" w:pos="851"/>
      </w:tabs>
      <w:spacing w:before="260" w:after="260" w:line="416" w:lineRule="auto"/>
      <w:ind w:left="851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tabs>
        <w:tab w:val="left" w:pos="1134"/>
      </w:tabs>
      <w:spacing w:before="120" w:after="120" w:line="300" w:lineRule="auto"/>
      <w:ind w:left="310" w:firstLine="400"/>
      <w:outlineLvl w:val="2"/>
    </w:pPr>
    <w:rPr>
      <w:rFonts w:ascii="宋体" w:cs="Arial"/>
      <w:b/>
      <w:bCs/>
      <w:sz w:val="24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ind w:left="284" w:firstLine="402"/>
      <w:outlineLvl w:val="3"/>
    </w:pPr>
    <w:rPr>
      <w:rFonts w:ascii="Cambria" w:hAnsi="Cambria" w:cs="黑体"/>
      <w:b/>
      <w:bCs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2" w:lineRule="auto"/>
      <w:ind w:left="284" w:firstLine="402"/>
      <w:outlineLvl w:val="4"/>
    </w:pPr>
    <w:rPr>
      <w:b/>
      <w:sz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17" w:lineRule="auto"/>
      <w:ind w:left="284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34"/>
    <w:qFormat/>
    <w:uiPriority w:val="0"/>
    <w:pPr>
      <w:keepNext/>
      <w:keepLines/>
      <w:spacing w:before="240" w:after="64" w:line="317" w:lineRule="auto"/>
      <w:ind w:left="284" w:firstLine="402"/>
      <w:outlineLvl w:val="6"/>
    </w:pPr>
    <w:rPr>
      <w:b/>
      <w:sz w:val="24"/>
    </w:rPr>
  </w:style>
  <w:style w:type="paragraph" w:styleId="9">
    <w:name w:val="heading 8"/>
    <w:basedOn w:val="1"/>
    <w:next w:val="1"/>
    <w:link w:val="35"/>
    <w:qFormat/>
    <w:uiPriority w:val="0"/>
    <w:pPr>
      <w:keepNext/>
      <w:keepLines/>
      <w:spacing w:before="240" w:after="64" w:line="317" w:lineRule="auto"/>
      <w:ind w:left="284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6"/>
    <w:qFormat/>
    <w:uiPriority w:val="0"/>
    <w:pPr>
      <w:keepNext/>
      <w:keepLines/>
      <w:spacing w:before="240" w:after="64" w:line="317" w:lineRule="auto"/>
      <w:ind w:left="284" w:firstLine="402"/>
      <w:outlineLvl w:val="8"/>
    </w:pPr>
    <w:rPr>
      <w:rFonts w:ascii="Arial" w:hAnsi="Arial" w:eastAsia="黑体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3"/>
    <w:qFormat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ind w:left="840" w:leftChars="400"/>
    </w:pPr>
  </w:style>
  <w:style w:type="paragraph" w:styleId="13">
    <w:name w:val="Balloon Text"/>
    <w:basedOn w:val="1"/>
    <w:link w:val="45"/>
    <w:qFormat/>
    <w:uiPriority w:val="99"/>
    <w:rPr>
      <w:rFonts w:ascii="Segoe UI" w:hAnsi="Segoe UI" w:cs="Segoe UI"/>
      <w:sz w:val="18"/>
      <w:szCs w:val="18"/>
    </w:rPr>
  </w:style>
  <w:style w:type="paragraph" w:styleId="14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</w:style>
  <w:style w:type="paragraph" w:styleId="17">
    <w:name w:val="toc 2"/>
    <w:basedOn w:val="1"/>
    <w:next w:val="1"/>
    <w:qFormat/>
    <w:uiPriority w:val="39"/>
    <w:pPr>
      <w:ind w:left="420" w:leftChars="200"/>
    </w:p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annotation subject"/>
    <w:basedOn w:val="11"/>
    <w:next w:val="11"/>
    <w:link w:val="44"/>
    <w:qFormat/>
    <w:uiPriority w:val="99"/>
    <w:rPr>
      <w:b/>
      <w:bCs/>
    </w:rPr>
  </w:style>
  <w:style w:type="character" w:styleId="23">
    <w:name w:val="Strong"/>
    <w:qFormat/>
    <w:uiPriority w:val="99"/>
    <w:rPr>
      <w:rFonts w:cs="Times New Roman"/>
      <w:b/>
      <w:bCs/>
    </w:rPr>
  </w:style>
  <w:style w:type="character" w:styleId="24">
    <w:name w:val="Emphasis"/>
    <w:basedOn w:val="22"/>
    <w:qFormat/>
    <w:uiPriority w:val="0"/>
    <w:rPr>
      <w:i/>
      <w:iCs/>
    </w:rPr>
  </w:style>
  <w:style w:type="character" w:styleId="25">
    <w:name w:val="annotation reference"/>
    <w:basedOn w:val="22"/>
    <w:qFormat/>
    <w:uiPriority w:val="99"/>
    <w:rPr>
      <w:sz w:val="16"/>
      <w:szCs w:val="16"/>
    </w:rPr>
  </w:style>
  <w:style w:type="character" w:customStyle="1" w:styleId="26">
    <w:name w:val="Heading 3 Char"/>
    <w:basedOn w:val="22"/>
    <w:link w:val="4"/>
    <w:qFormat/>
    <w:uiPriority w:val="0"/>
    <w:rPr>
      <w:rFonts w:ascii="宋体" w:cs="Arial"/>
      <w:b/>
      <w:bCs/>
      <w:kern w:val="2"/>
      <w:sz w:val="24"/>
      <w:szCs w:val="32"/>
    </w:rPr>
  </w:style>
  <w:style w:type="character" w:customStyle="1" w:styleId="27">
    <w:name w:val="Heading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Heading 2 Char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paragraph" w:styleId="29">
    <w:name w:val="List Paragraph"/>
    <w:basedOn w:val="1"/>
    <w:link w:val="46"/>
    <w:qFormat/>
    <w:uiPriority w:val="34"/>
    <w:pPr>
      <w:ind w:firstLine="420" w:firstLineChars="200"/>
    </w:pPr>
  </w:style>
  <w:style w:type="paragraph" w:customStyle="1" w:styleId="30">
    <w:name w:val="TOC Heading"/>
    <w:basedOn w:val="2"/>
    <w:next w:val="1"/>
    <w:qFormat/>
    <w:uiPriority w:val="39"/>
    <w:pPr>
      <w:widowControl/>
      <w:spacing w:before="480" w:after="0" w:line="276" w:lineRule="auto"/>
      <w:ind w:left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1">
    <w:name w:val="Heading 4 Char"/>
    <w:basedOn w:val="22"/>
    <w:link w:val="5"/>
    <w:qFormat/>
    <w:uiPriority w:val="0"/>
    <w:rPr>
      <w:rFonts w:ascii="Cambria" w:hAnsi="Cambria" w:cs="黑体"/>
      <w:b/>
      <w:bCs/>
      <w:kern w:val="2"/>
      <w:sz w:val="21"/>
      <w:szCs w:val="28"/>
    </w:rPr>
  </w:style>
  <w:style w:type="character" w:customStyle="1" w:styleId="32">
    <w:name w:val="Heading 5 Char"/>
    <w:basedOn w:val="22"/>
    <w:link w:val="6"/>
    <w:qFormat/>
    <w:uiPriority w:val="0"/>
    <w:rPr>
      <w:b/>
      <w:kern w:val="2"/>
      <w:sz w:val="28"/>
      <w:szCs w:val="24"/>
    </w:rPr>
  </w:style>
  <w:style w:type="character" w:customStyle="1" w:styleId="33">
    <w:name w:val="Heading 6 Char"/>
    <w:basedOn w:val="22"/>
    <w:link w:val="7"/>
    <w:qFormat/>
    <w:uiPriority w:val="0"/>
    <w:rPr>
      <w:rFonts w:ascii="Arial" w:hAnsi="Arial" w:eastAsia="黑体"/>
      <w:b/>
      <w:kern w:val="2"/>
      <w:sz w:val="24"/>
      <w:szCs w:val="24"/>
    </w:rPr>
  </w:style>
  <w:style w:type="character" w:customStyle="1" w:styleId="34">
    <w:name w:val="Heading 7 Char"/>
    <w:basedOn w:val="22"/>
    <w:link w:val="8"/>
    <w:qFormat/>
    <w:uiPriority w:val="0"/>
    <w:rPr>
      <w:b/>
      <w:kern w:val="2"/>
      <w:sz w:val="24"/>
      <w:szCs w:val="24"/>
    </w:rPr>
  </w:style>
  <w:style w:type="character" w:customStyle="1" w:styleId="35">
    <w:name w:val="Heading 8 Char"/>
    <w:basedOn w:val="22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36">
    <w:name w:val="Heading 9 Char"/>
    <w:basedOn w:val="22"/>
    <w:link w:val="10"/>
    <w:qFormat/>
    <w:uiPriority w:val="0"/>
    <w:rPr>
      <w:rFonts w:ascii="Arial" w:hAnsi="Arial" w:eastAsia="黑体"/>
      <w:kern w:val="2"/>
      <w:sz w:val="21"/>
      <w:szCs w:val="24"/>
    </w:rPr>
  </w:style>
  <w:style w:type="character" w:customStyle="1" w:styleId="37">
    <w:name w:val="Title Char"/>
    <w:basedOn w:val="22"/>
    <w:link w:val="19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styleId="38">
    <w:name w:val="No Spacing"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39">
    <w:name w:val="列出段落1"/>
    <w:basedOn w:val="1"/>
    <w:qFormat/>
    <w:uiPriority w:val="0"/>
    <w:pPr>
      <w:ind w:firstLine="420" w:firstLineChars="200"/>
    </w:p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1">
    <w:name w:val="Header Char"/>
    <w:basedOn w:val="22"/>
    <w:link w:val="15"/>
    <w:qFormat/>
    <w:uiPriority w:val="99"/>
    <w:rPr>
      <w:kern w:val="2"/>
      <w:sz w:val="18"/>
      <w:szCs w:val="18"/>
    </w:rPr>
  </w:style>
  <w:style w:type="character" w:customStyle="1" w:styleId="42">
    <w:name w:val="Footer Char"/>
    <w:basedOn w:val="22"/>
    <w:link w:val="14"/>
    <w:qFormat/>
    <w:uiPriority w:val="99"/>
    <w:rPr>
      <w:kern w:val="2"/>
      <w:sz w:val="18"/>
      <w:szCs w:val="18"/>
    </w:rPr>
  </w:style>
  <w:style w:type="character" w:customStyle="1" w:styleId="43">
    <w:name w:val="Comment Text Char"/>
    <w:basedOn w:val="22"/>
    <w:link w:val="11"/>
    <w:qFormat/>
    <w:uiPriority w:val="99"/>
    <w:rPr>
      <w:kern w:val="2"/>
    </w:rPr>
  </w:style>
  <w:style w:type="character" w:customStyle="1" w:styleId="44">
    <w:name w:val="Comment Subject Char"/>
    <w:basedOn w:val="43"/>
    <w:link w:val="20"/>
    <w:qFormat/>
    <w:uiPriority w:val="99"/>
    <w:rPr>
      <w:b/>
      <w:bCs/>
      <w:kern w:val="2"/>
    </w:rPr>
  </w:style>
  <w:style w:type="character" w:customStyle="1" w:styleId="45">
    <w:name w:val="Balloon Text Char"/>
    <w:basedOn w:val="22"/>
    <w:link w:val="13"/>
    <w:qFormat/>
    <w:uiPriority w:val="99"/>
    <w:rPr>
      <w:rFonts w:ascii="Segoe UI" w:hAnsi="Segoe UI" w:cs="Segoe UI"/>
      <w:kern w:val="2"/>
      <w:sz w:val="18"/>
      <w:szCs w:val="18"/>
    </w:rPr>
  </w:style>
  <w:style w:type="character" w:customStyle="1" w:styleId="46">
    <w:name w:val="List Paragraph Char"/>
    <w:link w:val="29"/>
    <w:qFormat/>
    <w:uiPriority w:val="34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Honeywell</Company>
  <Pages>1</Pages>
  <Words>702</Words>
  <Characters>909</Characters>
  <Lines>7</Lines>
  <Paragraphs>2</Paragraphs>
  <TotalTime>11</TotalTime>
  <ScaleCrop>false</ScaleCrop>
  <LinksUpToDate>false</LinksUpToDate>
  <CharactersWithSpaces>927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2023-06-15T07:59:00Z</dcterms:created>
  <dc:creator>Gao</dc:creator>
  <cp:lastModifiedBy>刘永琴</cp:lastModifiedBy>
  <cp:lastPrinted>2016-05-30T08:36:00Z</cp:lastPrinted>
  <dcterms:modified xsi:type="dcterms:W3CDTF">2024-05-29T08:13:34Z</dcterms:modified>
  <dc:title>数量：PDA150台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27de497d7be24a02a8603c4337328416</vt:lpwstr>
  </property>
  <property fmtid="{D5CDD505-2E9C-101B-9397-08002B2CF9AE}" pid="3" name="MSIP_Label_d546e5e1-5d42-4630-bacd-c69bfdcbd5e8_Enabled">
    <vt:lpwstr>true</vt:lpwstr>
  </property>
  <property fmtid="{D5CDD505-2E9C-101B-9397-08002B2CF9AE}" pid="4" name="MSIP_Label_d546e5e1-5d42-4630-bacd-c69bfdcbd5e8_SetDate">
    <vt:lpwstr>2021-12-13T01:41:54Z</vt:lpwstr>
  </property>
  <property fmtid="{D5CDD505-2E9C-101B-9397-08002B2CF9AE}" pid="5" name="MSIP_Label_d546e5e1-5d42-4630-bacd-c69bfdcbd5e8_Method">
    <vt:lpwstr>Standard</vt:lpwstr>
  </property>
  <property fmtid="{D5CDD505-2E9C-101B-9397-08002B2CF9AE}" pid="6" name="MSIP_Label_d546e5e1-5d42-4630-bacd-c69bfdcbd5e8_Name">
    <vt:lpwstr>d546e5e1-5d42-4630-bacd-c69bfdcbd5e8</vt:lpwstr>
  </property>
  <property fmtid="{D5CDD505-2E9C-101B-9397-08002B2CF9AE}" pid="7" name="MSIP_Label_d546e5e1-5d42-4630-bacd-c69bfdcbd5e8_SiteId">
    <vt:lpwstr>96ece526-9c7d-48b0-8daf-8b93c90a5d18</vt:lpwstr>
  </property>
  <property fmtid="{D5CDD505-2E9C-101B-9397-08002B2CF9AE}" pid="8" name="MSIP_Label_d546e5e1-5d42-4630-bacd-c69bfdcbd5e8_ActionId">
    <vt:lpwstr>20403c74-289c-40a5-9e1a-a60e8b80760b</vt:lpwstr>
  </property>
  <property fmtid="{D5CDD505-2E9C-101B-9397-08002B2CF9AE}" pid="9" name="MSIP_Label_d546e5e1-5d42-4630-bacd-c69bfdcbd5e8_ContentBits">
    <vt:lpwstr>0</vt:lpwstr>
  </property>
  <property fmtid="{D5CDD505-2E9C-101B-9397-08002B2CF9AE}" pid="10" name="SmartTag">
    <vt:lpwstr>4</vt:lpwstr>
  </property>
  <property fmtid="{D5CDD505-2E9C-101B-9397-08002B2CF9AE}" pid="11" name="KSOProductBuildVer">
    <vt:lpwstr>2052-12.1.0.16929</vt:lpwstr>
  </property>
</Properties>
</file>